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80" w:rsidRDefault="00AA4580" w:rsidP="00AA4580">
      <w:pPr>
        <w:pStyle w:val="Default"/>
      </w:pPr>
    </w:p>
    <w:p w:rsidR="00AA4580" w:rsidRPr="000B210C" w:rsidRDefault="00AA4580" w:rsidP="000B210C">
      <w:pPr>
        <w:pStyle w:val="Default"/>
        <w:jc w:val="center"/>
      </w:pPr>
      <w:r w:rsidRPr="000B210C">
        <w:rPr>
          <w:b/>
          <w:bCs/>
        </w:rPr>
        <w:t>Учетная политика</w:t>
      </w:r>
      <w:r w:rsidR="000B210C">
        <w:t xml:space="preserve"> </w:t>
      </w:r>
      <w:r w:rsidR="000B210C" w:rsidRPr="000B210C">
        <w:rPr>
          <w:b/>
        </w:rPr>
        <w:t>МАОУ СОШ №29</w:t>
      </w:r>
      <w:r w:rsidRPr="000B210C">
        <w:rPr>
          <w:b/>
          <w:bCs/>
        </w:rPr>
        <w:t xml:space="preserve"> г.</w:t>
      </w:r>
      <w:r w:rsidR="000B210C">
        <w:rPr>
          <w:b/>
          <w:bCs/>
        </w:rPr>
        <w:t xml:space="preserve"> </w:t>
      </w:r>
      <w:r w:rsidRPr="000B210C">
        <w:rPr>
          <w:b/>
          <w:bCs/>
        </w:rPr>
        <w:t>Липецка»</w:t>
      </w:r>
    </w:p>
    <w:p w:rsidR="00AA4580" w:rsidRPr="000B210C" w:rsidRDefault="00AA4580" w:rsidP="000B210C">
      <w:pPr>
        <w:pStyle w:val="Default"/>
        <w:jc w:val="center"/>
      </w:pPr>
      <w:r w:rsidRPr="000B210C">
        <w:rPr>
          <w:b/>
          <w:bCs/>
        </w:rPr>
        <w:t>для целей бухгалтерского (бюджетного) учета</w:t>
      </w:r>
    </w:p>
    <w:p w:rsidR="00AA4580" w:rsidRDefault="00AA4580" w:rsidP="000B210C">
      <w:pPr>
        <w:pStyle w:val="Default"/>
        <w:jc w:val="center"/>
        <w:rPr>
          <w:b/>
          <w:bCs/>
        </w:rPr>
      </w:pPr>
      <w:r w:rsidRPr="000B210C">
        <w:rPr>
          <w:b/>
          <w:bCs/>
        </w:rPr>
        <w:t>на 2019 и последующие годы</w:t>
      </w:r>
    </w:p>
    <w:p w:rsidR="0020688E" w:rsidRPr="000B210C" w:rsidRDefault="0020688E" w:rsidP="000B210C">
      <w:pPr>
        <w:pStyle w:val="Default"/>
        <w:jc w:val="center"/>
      </w:pPr>
    </w:p>
    <w:p w:rsidR="00AA4580" w:rsidRDefault="00AA4580" w:rsidP="0020688E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0B210C">
        <w:rPr>
          <w:b/>
          <w:bCs/>
        </w:rPr>
        <w:t>Общие положения.</w:t>
      </w:r>
    </w:p>
    <w:p w:rsidR="0020688E" w:rsidRPr="000B210C" w:rsidRDefault="0020688E" w:rsidP="0020688E">
      <w:pPr>
        <w:pStyle w:val="Default"/>
        <w:ind w:left="720"/>
      </w:pPr>
    </w:p>
    <w:p w:rsidR="00AA4580" w:rsidRPr="000B210C" w:rsidRDefault="000B210C" w:rsidP="0020688E">
      <w:pPr>
        <w:pStyle w:val="Default"/>
        <w:jc w:val="both"/>
      </w:pPr>
      <w:r>
        <w:t>1.1 МАОУ СОШ №29 г. Липецка</w:t>
      </w:r>
      <w:r w:rsidR="00AA4580" w:rsidRPr="000B210C">
        <w:t xml:space="preserve">, далее Учреждение, в своей деятельности руководствуется Уставом.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Ведение бухгалтерского (бюджетного) учета осуществляется в Учреждении в соответствии со следующими нормативно-правовыми актами, регулирующими бухгалтерский учет: </w:t>
      </w:r>
    </w:p>
    <w:p w:rsidR="00AA4580" w:rsidRPr="000B210C" w:rsidRDefault="00AA4580" w:rsidP="0020688E">
      <w:pPr>
        <w:pStyle w:val="Default"/>
        <w:spacing w:after="46"/>
        <w:jc w:val="both"/>
      </w:pPr>
      <w:r w:rsidRPr="000B210C">
        <w:t xml:space="preserve"> с приказом Минфина от 01.12.2010 № 157н </w:t>
      </w:r>
      <w:r w:rsidRPr="000B210C">
        <w:rPr>
          <w:i/>
          <w:iCs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0B210C">
        <w:t xml:space="preserve">(далее – Инструкции к Единому плану счетов № 157н); </w:t>
      </w:r>
    </w:p>
    <w:p w:rsidR="00AA4580" w:rsidRPr="00B57E04" w:rsidRDefault="00AA4580" w:rsidP="0020688E">
      <w:pPr>
        <w:pStyle w:val="Default"/>
        <w:spacing w:after="46"/>
        <w:jc w:val="both"/>
      </w:pPr>
      <w:r w:rsidRPr="000B210C">
        <w:t xml:space="preserve"> </w:t>
      </w:r>
      <w:proofErr w:type="gramStart"/>
      <w:r w:rsidR="00B57E04">
        <w:rPr>
          <w:rFonts w:eastAsia="Times New Roman"/>
          <w:lang w:eastAsia="ru-RU"/>
        </w:rPr>
        <w:t>и</w:t>
      </w:r>
      <w:r w:rsidR="00B57E04" w:rsidRPr="00B57E04">
        <w:rPr>
          <w:rFonts w:eastAsia="Times New Roman"/>
          <w:lang w:eastAsia="ru-RU"/>
        </w:rPr>
        <w:t>нструкцией  от</w:t>
      </w:r>
      <w:proofErr w:type="gramEnd"/>
      <w:r w:rsidR="00B57E04" w:rsidRPr="00B57E04">
        <w:rPr>
          <w:rFonts w:eastAsia="Times New Roman"/>
          <w:lang w:eastAsia="ru-RU"/>
        </w:rPr>
        <w:t xml:space="preserve"> 23.12.2010г. № 183н «Об утверждении плана счетов бухгалтерского учета автономных учреждений и инструкции по его применению»</w:t>
      </w:r>
    </w:p>
    <w:p w:rsidR="00AA4580" w:rsidRPr="000B210C" w:rsidRDefault="00AA4580" w:rsidP="0020688E">
      <w:pPr>
        <w:pStyle w:val="Default"/>
        <w:spacing w:after="46"/>
        <w:jc w:val="both"/>
      </w:pPr>
      <w:r w:rsidRPr="000B210C">
        <w:t> приказом Минфина от 08.06.2018 № 132н «</w:t>
      </w:r>
      <w:r w:rsidRPr="000B210C">
        <w:rPr>
          <w:i/>
          <w:iCs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0B210C">
        <w:t xml:space="preserve">(далее – приказ № 132н); </w:t>
      </w:r>
    </w:p>
    <w:p w:rsidR="00AA4580" w:rsidRPr="000B210C" w:rsidRDefault="00AA4580" w:rsidP="0020688E">
      <w:pPr>
        <w:pStyle w:val="Default"/>
        <w:spacing w:after="46"/>
        <w:jc w:val="both"/>
      </w:pPr>
      <w:r w:rsidRPr="000B210C">
        <w:t xml:space="preserve"> приказом Минфина от 29.11.2017 № 209н </w:t>
      </w:r>
      <w:r w:rsidRPr="000B210C">
        <w:rPr>
          <w:i/>
          <w:iCs/>
        </w:rPr>
        <w:t xml:space="preserve">«Об утверждении Порядка применения классификации операций сектора государственного управления» </w:t>
      </w:r>
      <w:r w:rsidRPr="000B210C">
        <w:t xml:space="preserve">(далее – приказ № 209н); </w:t>
      </w:r>
    </w:p>
    <w:p w:rsidR="00AA4580" w:rsidRPr="000B210C" w:rsidRDefault="00AA4580" w:rsidP="0020688E">
      <w:pPr>
        <w:pStyle w:val="Default"/>
        <w:spacing w:after="46"/>
        <w:jc w:val="both"/>
      </w:pPr>
      <w:r w:rsidRPr="000B210C">
        <w:t xml:space="preserve"> приказом Минфина от 30.03.2015 № 52н </w:t>
      </w:r>
      <w:r w:rsidRPr="000B210C">
        <w:rPr>
          <w:i/>
          <w:iCs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0B210C">
        <w:t xml:space="preserve">(далее – приказ № 52н); </w:t>
      </w:r>
    </w:p>
    <w:p w:rsidR="00AA4580" w:rsidRPr="000B210C" w:rsidRDefault="00AA4580" w:rsidP="0020688E">
      <w:pPr>
        <w:pStyle w:val="Default"/>
        <w:spacing w:after="46"/>
        <w:jc w:val="both"/>
      </w:pPr>
      <w:r w:rsidRPr="000B210C">
        <w:t xml:space="preserve">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валют»). </w:t>
      </w:r>
    </w:p>
    <w:p w:rsidR="00ED0B69" w:rsidRPr="000B210C" w:rsidRDefault="00AA4580" w:rsidP="0020688E">
      <w:pPr>
        <w:jc w:val="both"/>
        <w:rPr>
          <w:rFonts w:ascii="Times New Roman" w:hAnsi="Times New Roman" w:cs="Times New Roman"/>
          <w:sz w:val="24"/>
          <w:szCs w:val="24"/>
        </w:rPr>
      </w:pPr>
      <w:r w:rsidRPr="000B210C">
        <w:rPr>
          <w:rFonts w:ascii="Times New Roman" w:hAnsi="Times New Roman" w:cs="Times New Roman"/>
          <w:sz w:val="24"/>
          <w:szCs w:val="24"/>
        </w:rPr>
        <w:t>Методическими указаниями по инвентаризации имущества и финансовых обязательств, утвержденными Приказом Минфина России от 13.06.1995 №49 (далее – Методические указания №49).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В соответствии со ст. 7 Федерального закона N 402-ФЗ ответственным за организацию ведения бухгалтерского учета и хранение документов бухгалтерского учета является руководитель Учреждения. </w:t>
      </w:r>
    </w:p>
    <w:p w:rsidR="00AA4580" w:rsidRDefault="00AA4580" w:rsidP="0020688E">
      <w:pPr>
        <w:pStyle w:val="Default"/>
        <w:jc w:val="both"/>
      </w:pPr>
      <w:r w:rsidRPr="000B210C">
        <w:t xml:space="preserve">За формирование учетной политики, распорядительных документов, определяющих особенность реализации государственной учетной политики в учреждении, ведение бухгалтерского учета, своевременное представление полной и достоверной бухгалтерской отчетности - главный бухгалтер Учреждения. </w:t>
      </w:r>
    </w:p>
    <w:p w:rsidR="0020688E" w:rsidRPr="000B210C" w:rsidRDefault="0020688E" w:rsidP="0020688E">
      <w:pPr>
        <w:pStyle w:val="Default"/>
        <w:jc w:val="both"/>
      </w:pPr>
    </w:p>
    <w:p w:rsidR="00AA4580" w:rsidRDefault="00AA4580" w:rsidP="0020688E">
      <w:pPr>
        <w:pStyle w:val="Default"/>
        <w:jc w:val="both"/>
        <w:rPr>
          <w:b/>
          <w:bCs/>
        </w:rPr>
      </w:pPr>
      <w:r w:rsidRPr="000B210C">
        <w:rPr>
          <w:b/>
          <w:bCs/>
        </w:rPr>
        <w:t xml:space="preserve">2.Технология обработки учетной информации </w:t>
      </w:r>
    </w:p>
    <w:p w:rsidR="0020688E" w:rsidRPr="000B210C" w:rsidRDefault="0020688E" w:rsidP="0020688E">
      <w:pPr>
        <w:pStyle w:val="Default"/>
        <w:jc w:val="both"/>
      </w:pPr>
    </w:p>
    <w:p w:rsidR="00AA4580" w:rsidRPr="000B210C" w:rsidRDefault="00AA4580" w:rsidP="0020688E">
      <w:pPr>
        <w:pStyle w:val="Default"/>
        <w:jc w:val="both"/>
      </w:pPr>
      <w:r w:rsidRPr="000B210C">
        <w:t xml:space="preserve">Бюджетный учет осуществляется с применением системы автоматизации бухгалтерского учета в программе: «1С-Предприятие», «1С- Зарплата»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по следующим учетным блокам: </w:t>
      </w:r>
    </w:p>
    <w:p w:rsidR="00AA4580" w:rsidRPr="000B210C" w:rsidRDefault="00AA4580" w:rsidP="0020688E">
      <w:pPr>
        <w:pStyle w:val="Default"/>
        <w:jc w:val="both"/>
      </w:pPr>
      <w:r w:rsidRPr="000B210C">
        <w:lastRenderedPageBreak/>
        <w:t xml:space="preserve">- оплата труда;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учет расчетов с подотчетными лицами;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учет расчетов с поставщиками и подрядчиками;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учет кассовых операций;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учет банковских операций;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учет доходов;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учет основных средств и материальных запасов;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санкционирование расходов;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бухгалтерия (блок составления сводных регистров бухгалтерского учета, баланса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учреждения и бухгалтерской отчетности);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Бюджетный учет родительской платы в дошкольных учреждениях осуществляется с применением подсистемы «Родительская плата» региональной информационной системы «Электронный детский сад» модуль «Родительская плата».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С использованием телекоммуникационных каналов связи и электронной подписи осуществляется электронный документооборот по следующим направлениям: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-система электронного документооборота с территориальным органом Федерального казначейства; </w:t>
      </w:r>
    </w:p>
    <w:p w:rsidR="00AA4580" w:rsidRPr="000B210C" w:rsidRDefault="00AA4580" w:rsidP="0020688E">
      <w:pPr>
        <w:pStyle w:val="Default"/>
        <w:jc w:val="both"/>
      </w:pPr>
      <w:r w:rsidRPr="000B210C">
        <w:t>-передача бухгалтерской о</w:t>
      </w:r>
      <w:r w:rsidR="0083622A">
        <w:t>тчетности в департамент образования</w:t>
      </w:r>
      <w:r w:rsidRPr="000B210C">
        <w:t xml:space="preserve"> администрации города Липецка;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-передача отчетности по налогам, сборам и иным обязательным платежам в инспекцию Федеральной налоговой службы;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-передача отчетности в отделение Пенсионного фонда;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-размещение информации о деятельности учреждения на официальном сайте bus.gov.ru; </w:t>
      </w:r>
    </w:p>
    <w:p w:rsidR="00AA4580" w:rsidRDefault="00AA4580" w:rsidP="0020688E">
      <w:pPr>
        <w:pStyle w:val="Default"/>
        <w:jc w:val="both"/>
      </w:pPr>
      <w:r w:rsidRPr="000B210C">
        <w:t xml:space="preserve">В целях обеспечения сохранности электронных данных бухгалтерского учета и отчетности: на сервере ежедневно производится сохранение резервных копий базы «Бухгалтерия» и «Зарплата». </w:t>
      </w:r>
    </w:p>
    <w:p w:rsidR="0020688E" w:rsidRPr="000B210C" w:rsidRDefault="0020688E" w:rsidP="0020688E">
      <w:pPr>
        <w:pStyle w:val="Default"/>
        <w:jc w:val="both"/>
      </w:pPr>
    </w:p>
    <w:p w:rsidR="00AA4580" w:rsidRDefault="00AA4580" w:rsidP="0020688E">
      <w:pPr>
        <w:pStyle w:val="Default"/>
        <w:jc w:val="both"/>
        <w:rPr>
          <w:b/>
          <w:bCs/>
        </w:rPr>
      </w:pPr>
      <w:r w:rsidRPr="000B210C">
        <w:rPr>
          <w:b/>
          <w:bCs/>
        </w:rPr>
        <w:t xml:space="preserve">3.Правила документооборота </w:t>
      </w:r>
    </w:p>
    <w:p w:rsidR="0020688E" w:rsidRPr="000B210C" w:rsidRDefault="0020688E" w:rsidP="0020688E">
      <w:pPr>
        <w:pStyle w:val="Default"/>
        <w:jc w:val="both"/>
      </w:pPr>
    </w:p>
    <w:p w:rsidR="0020688E" w:rsidRDefault="00AA4580" w:rsidP="0020688E">
      <w:pPr>
        <w:pStyle w:val="Default"/>
        <w:jc w:val="both"/>
      </w:pPr>
      <w:r w:rsidRPr="000B210C">
        <w:t xml:space="preserve">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Основание: пункт 11 Инструкции к Единому плану счетов № 157н, подпункт «г» пункта 9 СГС «Учетная политика, оценочные значения и ошибки».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Для оформления финансово-хозяйственных операций, по которым не предусмотрены типовые формы первичных учетных документов, Учреждением самостоятельно разрабатываются необходимые формы документов.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Первичные учетные документы принимаются к учету, если они составлены по установленной форме, с обязательным отражением в них всех, предусмотренных порядком ведения реквизитов.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Право подписи первичных учетных документов в получении товаров, работ (услуг) предоставить материально-ответственным лицам, с которыми заключены договора на полную материальную ответственность и назначенные приказом руководителя.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При изъятии первичных учетных документов, регистров бухгалтерского учета органами дознания, предварительного следствия или прокуратуры, судами,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органов, проводящих изъятие документов обязан обеспечить формирование реестра изъятых документов с указанием основания и даты изъятия, а также с приложением копий таковых.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соответствующим журналам операций, должны быть подобраны в хронологическом порядке и сброшюрованы.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Основание: пункт 19 Инструкции к Единому плану счетов № 157н, пункт 33 СГС «Концептуальные основы бухучета и отчетности». </w:t>
      </w:r>
    </w:p>
    <w:p w:rsidR="00AA4580" w:rsidRPr="000B210C" w:rsidRDefault="00AA4580" w:rsidP="0020688E">
      <w:pPr>
        <w:pStyle w:val="Default"/>
        <w:jc w:val="both"/>
      </w:pPr>
      <w:r w:rsidRPr="000B210C">
        <w:lastRenderedPageBreak/>
        <w:t xml:space="preserve">На обложке следует указать: наименование субъекта учета; название и порядковый номер папки (дела); период (дата)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операций), с указанием при наличии его номера; количества листов в папке (деле).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Способ хранения регистров бухгалтерского учета, первичных учетных документов должен обеспечивать их защиту от несанкционированных исправлений, утере целостности информации в них и сохранности самих документов.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Обеспечение сохранности документов, отражаемых хозяйственные операции возлагается на: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лиц, ответственных за составление и оформление соответствующих документов при совершении операций, до момента их предоставления в Учреждение.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работников Учреждения ответственных за осуществление соответствующих учетных блоков, до передачи их в архив;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- работника Учреждения, по должностным обязанностям которого возложена организация и осуществление архива документов.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Ответственность за организацию хранения первичных (сводных) учетных документов, регистров бухгалтерского учета и бухгалтерской отчетности несет руководитель Учреждения.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Сохранность документов должна быть обеспечена как на бумажных носителях, так и на магнитных носителях информации.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В случае пропажи или уничтожения первичных учетных документов и регистров бухгалтерского учета руководитель субъекта учета назначает приказом комиссию по расследованию причин их пропажи, уничтожения, порчи, выявлению виновных лиц, а также принимает меры по восстановлению первичных (сводных) учетных документов и регистров бухгалтерского учета. </w:t>
      </w:r>
    </w:p>
    <w:p w:rsidR="00AA4580" w:rsidRDefault="00AA4580" w:rsidP="0020688E">
      <w:pPr>
        <w:pStyle w:val="Default"/>
        <w:jc w:val="both"/>
      </w:pPr>
      <w:r w:rsidRPr="000B210C">
        <w:t xml:space="preserve">При необходимости для участия в работе комиссии приглашаются представители следственных органов, охраны и государственного пожарного надзора. Результаты комиссии оформляются актом, который утверждается руководителем субъекта учета, подшивается в папку (дело) Журнала по прочим операциям. </w:t>
      </w:r>
    </w:p>
    <w:p w:rsidR="0020688E" w:rsidRPr="000B210C" w:rsidRDefault="0020688E" w:rsidP="0020688E">
      <w:pPr>
        <w:pStyle w:val="Default"/>
        <w:jc w:val="both"/>
      </w:pPr>
    </w:p>
    <w:p w:rsidR="00AA4580" w:rsidRDefault="00AA4580" w:rsidP="0020688E">
      <w:pPr>
        <w:pStyle w:val="Default"/>
        <w:jc w:val="both"/>
        <w:rPr>
          <w:b/>
          <w:bCs/>
        </w:rPr>
      </w:pPr>
      <w:r w:rsidRPr="000B210C">
        <w:rPr>
          <w:b/>
          <w:bCs/>
        </w:rPr>
        <w:t xml:space="preserve">4. Форма бухгалтерского учета. </w:t>
      </w:r>
    </w:p>
    <w:p w:rsidR="0020688E" w:rsidRPr="000B210C" w:rsidRDefault="0020688E" w:rsidP="0020688E">
      <w:pPr>
        <w:pStyle w:val="Default"/>
        <w:jc w:val="both"/>
      </w:pPr>
    </w:p>
    <w:p w:rsidR="00AA4580" w:rsidRPr="000B210C" w:rsidRDefault="00AA4580" w:rsidP="0020688E">
      <w:pPr>
        <w:pStyle w:val="Default"/>
        <w:jc w:val="both"/>
      </w:pPr>
      <w:r w:rsidRPr="000B210C">
        <w:t xml:space="preserve">В Учреждении устанавливается журнальная форма бухгалтерского учета с элементами автоматизации (программ 1С-Бухгалтерия).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Выходные формы по бюджетным регистрам на бумажных носителях, подготовленные с применением системы автоматизированной обработки данных, могут иметь отличия от установленных нормативными документами форм, при условии, что они содержат соответствующие обязательные реквизиты и показатели.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Бюджетный учет осуществляется по следующим журналам операций: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№1 </w:t>
      </w:r>
      <w:r w:rsidRPr="000B210C">
        <w:t xml:space="preserve">операций по счету "Касса"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№2 </w:t>
      </w:r>
      <w:r w:rsidRPr="000B210C">
        <w:t xml:space="preserve">операций с безналичными денежными средствами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№3 </w:t>
      </w:r>
      <w:r w:rsidRPr="000B210C">
        <w:t xml:space="preserve">операций расчетов с подотчетными лицами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№4 </w:t>
      </w:r>
      <w:r w:rsidRPr="000B210C">
        <w:t xml:space="preserve">операций расчетов с поставщиками и подрядчиками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№5 </w:t>
      </w:r>
      <w:r w:rsidRPr="000B210C">
        <w:t xml:space="preserve">операций расчетов с дебиторами по доходам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№6 </w:t>
      </w:r>
      <w:r w:rsidRPr="000B210C">
        <w:t xml:space="preserve">операций расчетов по оплате труда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№7 </w:t>
      </w:r>
      <w:r w:rsidRPr="000B210C">
        <w:t xml:space="preserve">операций по выбытию и перемещению нефинансовых активов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Журнал №8 </w:t>
      </w:r>
      <w:r w:rsidRPr="000B210C">
        <w:t xml:space="preserve">по прочим операциям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Главная книга. </w:t>
      </w:r>
    </w:p>
    <w:p w:rsidR="00AA4580" w:rsidRDefault="00AA4580" w:rsidP="0020688E">
      <w:pPr>
        <w:pStyle w:val="Default"/>
        <w:jc w:val="both"/>
      </w:pPr>
      <w:r w:rsidRPr="000B210C">
        <w:t xml:space="preserve">Главная книга формируется единая по всем источникам финансирования и выводится на печать по истечении отчетного года. </w:t>
      </w:r>
    </w:p>
    <w:p w:rsidR="005A2268" w:rsidRDefault="005A2268" w:rsidP="0020688E">
      <w:pPr>
        <w:pStyle w:val="Default"/>
        <w:jc w:val="both"/>
      </w:pPr>
    </w:p>
    <w:p w:rsidR="0020688E" w:rsidRDefault="0020688E" w:rsidP="0020688E">
      <w:pPr>
        <w:pStyle w:val="Default"/>
        <w:jc w:val="both"/>
      </w:pPr>
    </w:p>
    <w:p w:rsidR="0020688E" w:rsidRDefault="0020688E" w:rsidP="0020688E">
      <w:pPr>
        <w:pStyle w:val="Default"/>
        <w:jc w:val="both"/>
      </w:pPr>
    </w:p>
    <w:p w:rsidR="0020688E" w:rsidRDefault="0020688E" w:rsidP="0020688E">
      <w:pPr>
        <w:pStyle w:val="Default"/>
        <w:jc w:val="both"/>
      </w:pPr>
    </w:p>
    <w:p w:rsidR="0020688E" w:rsidRDefault="0020688E" w:rsidP="0020688E">
      <w:pPr>
        <w:pStyle w:val="Default"/>
        <w:jc w:val="both"/>
      </w:pPr>
    </w:p>
    <w:p w:rsidR="0020688E" w:rsidRDefault="0020688E" w:rsidP="0020688E">
      <w:pPr>
        <w:pStyle w:val="Default"/>
        <w:jc w:val="both"/>
      </w:pPr>
    </w:p>
    <w:p w:rsidR="0020688E" w:rsidRDefault="0020688E" w:rsidP="0020688E">
      <w:pPr>
        <w:pStyle w:val="Default"/>
        <w:jc w:val="both"/>
      </w:pPr>
    </w:p>
    <w:p w:rsidR="0020688E" w:rsidRPr="000B210C" w:rsidRDefault="0020688E" w:rsidP="0020688E">
      <w:pPr>
        <w:pStyle w:val="Default"/>
        <w:jc w:val="both"/>
      </w:pP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6. Рабочий План счетов.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1676"/>
        <w:gridCol w:w="2525"/>
      </w:tblGrid>
      <w:tr w:rsidR="00AA4580" w:rsidRPr="000B210C" w:rsidTr="00AA4580">
        <w:trPr>
          <w:trHeight w:val="245"/>
        </w:trPr>
        <w:tc>
          <w:tcPr>
            <w:tcW w:w="4201" w:type="dxa"/>
          </w:tcPr>
          <w:p w:rsidR="005A2268" w:rsidRDefault="00AA4580" w:rsidP="0020688E">
            <w:pPr>
              <w:pStyle w:val="Default"/>
              <w:jc w:val="both"/>
            </w:pPr>
            <w:r w:rsidRPr="000B210C">
              <w:t>При отражении в бухучете хозяйственных операций 1–18 разряды номера счета Рабочего плана счетов формируются следующим образом.</w:t>
            </w:r>
          </w:p>
          <w:p w:rsidR="00411806" w:rsidRDefault="00411806" w:rsidP="0020688E">
            <w:pPr>
              <w:pStyle w:val="Default"/>
              <w:jc w:val="both"/>
            </w:pPr>
          </w:p>
          <w:p w:rsidR="00AA4580" w:rsidRDefault="00AA4580" w:rsidP="0020688E">
            <w:pPr>
              <w:pStyle w:val="Default"/>
              <w:jc w:val="both"/>
              <w:rPr>
                <w:b/>
                <w:bCs/>
              </w:rPr>
            </w:pPr>
            <w:r w:rsidRPr="000B210C">
              <w:t xml:space="preserve"> </w:t>
            </w:r>
            <w:r w:rsidRPr="000B210C">
              <w:rPr>
                <w:b/>
                <w:bCs/>
              </w:rPr>
              <w:t>Разряд номера счета</w:t>
            </w:r>
            <w:r w:rsidR="00411806">
              <w:rPr>
                <w:b/>
                <w:bCs/>
              </w:rPr>
              <w:t xml:space="preserve">          Код вида                                    </w:t>
            </w:r>
            <w:r w:rsidRPr="000B210C">
              <w:rPr>
                <w:b/>
                <w:bCs/>
              </w:rPr>
              <w:t xml:space="preserve"> </w:t>
            </w:r>
            <w:r w:rsidR="005A2268">
              <w:rPr>
                <w:b/>
                <w:bCs/>
              </w:rPr>
              <w:t xml:space="preserve">                                                              </w:t>
            </w:r>
          </w:p>
          <w:p w:rsidR="005A2268" w:rsidRPr="000B210C" w:rsidRDefault="005A2268" w:rsidP="0020688E">
            <w:pPr>
              <w:pStyle w:val="Default"/>
              <w:jc w:val="both"/>
            </w:pPr>
          </w:p>
        </w:tc>
        <w:tc>
          <w:tcPr>
            <w:tcW w:w="4201" w:type="dxa"/>
            <w:gridSpan w:val="2"/>
          </w:tcPr>
          <w:p w:rsidR="00AA4580" w:rsidRPr="000B210C" w:rsidRDefault="00AA4580" w:rsidP="0020688E">
            <w:pPr>
              <w:pStyle w:val="Default"/>
              <w:jc w:val="both"/>
            </w:pPr>
          </w:p>
        </w:tc>
      </w:tr>
      <w:tr w:rsidR="00AA4580" w:rsidRPr="000B210C" w:rsidTr="00AA4580">
        <w:trPr>
          <w:trHeight w:val="523"/>
        </w:trPr>
        <w:tc>
          <w:tcPr>
            <w:tcW w:w="4201" w:type="dxa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1–4 </w:t>
            </w:r>
          </w:p>
        </w:tc>
        <w:tc>
          <w:tcPr>
            <w:tcW w:w="4201" w:type="dxa"/>
            <w:gridSpan w:val="2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rPr>
                <w:i/>
                <w:iCs/>
              </w:rPr>
              <w:t xml:space="preserve">Аналитический код вида услуги: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0702 «Общее образование»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… </w:t>
            </w:r>
          </w:p>
        </w:tc>
      </w:tr>
      <w:tr w:rsidR="00AA4580" w:rsidRPr="000B210C" w:rsidTr="00AA4580">
        <w:trPr>
          <w:trHeight w:val="109"/>
        </w:trPr>
        <w:tc>
          <w:tcPr>
            <w:tcW w:w="4201" w:type="dxa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5–14 </w:t>
            </w:r>
          </w:p>
        </w:tc>
        <w:tc>
          <w:tcPr>
            <w:tcW w:w="4201" w:type="dxa"/>
            <w:gridSpan w:val="2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0000000000 </w:t>
            </w:r>
          </w:p>
        </w:tc>
      </w:tr>
      <w:tr w:rsidR="00AA4580" w:rsidRPr="000B210C" w:rsidTr="00AA4580">
        <w:trPr>
          <w:trHeight w:val="686"/>
        </w:trPr>
        <w:tc>
          <w:tcPr>
            <w:tcW w:w="4201" w:type="dxa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15–17 </w:t>
            </w:r>
          </w:p>
        </w:tc>
        <w:tc>
          <w:tcPr>
            <w:tcW w:w="4201" w:type="dxa"/>
            <w:gridSpan w:val="2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rPr>
                <w:i/>
                <w:iCs/>
              </w:rPr>
              <w:t xml:space="preserve">Код вида поступлений или выбытий, соответствующий: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аналитической группе подвида доходов бюджетов;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коду вида расходов;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аналитической группе вида источников финансирования дефицитов бюджетов </w:t>
            </w:r>
          </w:p>
          <w:p w:rsidR="00AA4580" w:rsidRPr="000B210C" w:rsidRDefault="00AA4580" w:rsidP="0020688E">
            <w:pPr>
              <w:pStyle w:val="Default"/>
              <w:jc w:val="both"/>
            </w:pPr>
          </w:p>
        </w:tc>
      </w:tr>
      <w:tr w:rsidR="00AA4580" w:rsidRPr="000B210C" w:rsidTr="00AA4580">
        <w:trPr>
          <w:trHeight w:val="981"/>
        </w:trPr>
        <w:tc>
          <w:tcPr>
            <w:tcW w:w="4201" w:type="dxa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18 </w:t>
            </w:r>
          </w:p>
        </w:tc>
        <w:tc>
          <w:tcPr>
            <w:tcW w:w="4201" w:type="dxa"/>
            <w:gridSpan w:val="2"/>
          </w:tcPr>
          <w:p w:rsidR="00AA4580" w:rsidRPr="000B210C" w:rsidRDefault="00AA4580" w:rsidP="0020688E">
            <w:pPr>
              <w:pStyle w:val="Default"/>
              <w:jc w:val="both"/>
            </w:pPr>
            <w:r w:rsidRPr="000B210C">
              <w:rPr>
                <w:i/>
                <w:iCs/>
              </w:rPr>
              <w:t xml:space="preserve">Код вида финансового обеспечения (деятельности)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1 – бюджетная деятельность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2 – приносящая доход деятельность (собственные доходы учреждения);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3 – средства во временном распоряжении;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4 – субсидия на выполнение государственного задания; </w:t>
            </w:r>
          </w:p>
          <w:p w:rsidR="00AA4580" w:rsidRPr="000B210C" w:rsidRDefault="00AA4580" w:rsidP="0020688E">
            <w:pPr>
              <w:pStyle w:val="Default"/>
              <w:jc w:val="both"/>
            </w:pPr>
            <w:r w:rsidRPr="000B210C">
              <w:t xml:space="preserve"> 5 – субсидии на иные цели; </w:t>
            </w:r>
          </w:p>
          <w:p w:rsidR="005A2268" w:rsidRPr="000B210C" w:rsidRDefault="005A2268" w:rsidP="0020688E">
            <w:pPr>
              <w:pStyle w:val="Default"/>
              <w:jc w:val="both"/>
            </w:pPr>
            <w:r>
              <w:t xml:space="preserve"> 6 – субсидии </w:t>
            </w:r>
            <w:proofErr w:type="gramStart"/>
            <w:r>
              <w:t xml:space="preserve">на </w:t>
            </w:r>
            <w:r w:rsidRPr="000B210C">
              <w:t xml:space="preserve"> цели</w:t>
            </w:r>
            <w:proofErr w:type="gramEnd"/>
            <w:r>
              <w:t xml:space="preserve"> осуществления капитальных вложений</w:t>
            </w:r>
            <w:r w:rsidRPr="000B210C">
              <w:t xml:space="preserve">; </w:t>
            </w:r>
          </w:p>
          <w:p w:rsidR="00AA4580" w:rsidRPr="000B210C" w:rsidRDefault="00AA4580" w:rsidP="0020688E">
            <w:pPr>
              <w:pStyle w:val="Default"/>
              <w:jc w:val="both"/>
            </w:pPr>
          </w:p>
        </w:tc>
      </w:tr>
      <w:tr w:rsidR="00AA4580" w:rsidRPr="00AA4580" w:rsidTr="00AA4580">
        <w:trPr>
          <w:gridAfter w:val="1"/>
          <w:wAfter w:w="2525" w:type="dxa"/>
          <w:trHeight w:val="245"/>
        </w:trPr>
        <w:tc>
          <w:tcPr>
            <w:tcW w:w="5877" w:type="dxa"/>
            <w:gridSpan w:val="2"/>
          </w:tcPr>
          <w:p w:rsidR="00AA4580" w:rsidRPr="00AA4580" w:rsidRDefault="00AA4580" w:rsidP="00206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4580" w:rsidRPr="000B210C" w:rsidRDefault="00AA4580" w:rsidP="0020688E">
      <w:pPr>
        <w:pStyle w:val="Default"/>
        <w:jc w:val="both"/>
      </w:pPr>
      <w:r w:rsidRPr="000B210C">
        <w:t xml:space="preserve">При осуществлении учета использовать план счетов в соответствии с Инструкцией </w:t>
      </w:r>
    </w:p>
    <w:p w:rsidR="00AA4580" w:rsidRDefault="005A2268" w:rsidP="0020688E">
      <w:pPr>
        <w:pStyle w:val="Default"/>
        <w:jc w:val="both"/>
      </w:pPr>
      <w:r>
        <w:t>№ 183н (для автономных учреждений).</w:t>
      </w:r>
    </w:p>
    <w:p w:rsidR="0020688E" w:rsidRPr="000B210C" w:rsidRDefault="0020688E" w:rsidP="0020688E">
      <w:pPr>
        <w:pStyle w:val="Default"/>
        <w:jc w:val="both"/>
      </w:pPr>
    </w:p>
    <w:p w:rsidR="00AA4580" w:rsidRDefault="00AA4580" w:rsidP="0020688E">
      <w:pPr>
        <w:pStyle w:val="Default"/>
        <w:jc w:val="both"/>
        <w:rPr>
          <w:b/>
          <w:bCs/>
        </w:rPr>
      </w:pPr>
      <w:r w:rsidRPr="000B210C">
        <w:rPr>
          <w:b/>
          <w:bCs/>
        </w:rPr>
        <w:t xml:space="preserve">7. Инвентаризация имущества и обязательств </w:t>
      </w:r>
    </w:p>
    <w:p w:rsidR="0020688E" w:rsidRPr="000B210C" w:rsidRDefault="0020688E" w:rsidP="0020688E">
      <w:pPr>
        <w:pStyle w:val="Default"/>
        <w:jc w:val="both"/>
      </w:pPr>
    </w:p>
    <w:p w:rsidR="00AA4580" w:rsidRPr="000B210C" w:rsidRDefault="00AA4580" w:rsidP="0020688E">
      <w:pPr>
        <w:pStyle w:val="Default"/>
        <w:jc w:val="both"/>
      </w:pPr>
      <w:r w:rsidRPr="000B210C">
        <w:t xml:space="preserve">Инвентаризацию имущества и обязательств (в т. ч. числящихся на </w:t>
      </w:r>
      <w:proofErr w:type="spellStart"/>
      <w:r w:rsidRPr="000B210C">
        <w:t>забалансовых</w:t>
      </w:r>
      <w:proofErr w:type="spellEnd"/>
      <w:r w:rsidRPr="000B210C">
        <w:t xml:space="preserve"> счетах), а также финансовых результатов (в т. ч. расходов будущих периодов и резервов) проводится перед сдачей годовой отчетности по состоянию на 1 октября отчетного года. 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Основание: статья 11 Закона от 06.12.2011 № 402-ФЗ, раздел VIII СГС «Концептуальные основы бухучета и отчетности».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Основные правила проведения инвентаризации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средств, не сданные в бухгалтерию. </w:t>
      </w:r>
    </w:p>
    <w:p w:rsidR="00AA4580" w:rsidRPr="000B210C" w:rsidRDefault="00AA4580" w:rsidP="0020688E">
      <w:pPr>
        <w:pStyle w:val="Default"/>
        <w:jc w:val="both"/>
      </w:pPr>
      <w:r w:rsidRPr="000B210C">
        <w:lastRenderedPageBreak/>
        <w:t xml:space="preserve"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– списаны в расход.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Руководитель учреждения должен создать условия, обеспечивающие полную и точную проверку фактического наличия имущества в установленные сроки.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Проверка фактического наличия имущества производится при обязательном участии материально ответственных лиц.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Инвентаризационные описи могут быть заполнены как с использованием средств вычислительной и другой организационной техники, так и ручным способом. Описи заполняются чернилами или шариковой ручкой четко и ясно, без помарок и подчисток.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Наименования инвентаризуемых ценностей и объектов, их количество указывают в описях по номенклатуре и в единицах измерения, принятых в учете.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Описи подписывают все члены инвентаризационной комиссии и материально ответственные лица.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Порядок проведения инвентаризации.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  <w:i/>
          <w:iCs/>
        </w:rPr>
        <w:t xml:space="preserve">Инвентаризация основных средств </w:t>
      </w:r>
      <w:r w:rsidRPr="000B210C">
        <w:t xml:space="preserve">производится комиссией путем осмотра объектов и записи их наименования, назначения, инвентарного номера, количества в инвентаризационную опись (сличительную ведомость) по объектам нефинансовых активов. </w:t>
      </w:r>
    </w:p>
    <w:p w:rsidR="0020688E" w:rsidRDefault="00AA4580" w:rsidP="0020688E">
      <w:pPr>
        <w:pStyle w:val="Default"/>
        <w:jc w:val="both"/>
      </w:pPr>
      <w:r w:rsidRPr="000B210C">
        <w:t>Выявленные инвентаризацией неучтенные объекты основных средств оцениваются с учетом действующих рыночных цен, амортизация по этим объектам определяется по их техническому с</w:t>
      </w:r>
      <w:r w:rsidR="0020688E">
        <w:t>остоянию с учетом года выпуска.</w:t>
      </w:r>
    </w:p>
    <w:p w:rsidR="00AA4580" w:rsidRPr="000B210C" w:rsidRDefault="005A2268" w:rsidP="0020688E">
      <w:pPr>
        <w:pStyle w:val="Default"/>
        <w:jc w:val="both"/>
      </w:pPr>
      <w:r>
        <w:t>Р</w:t>
      </w:r>
      <w:r w:rsidR="00AA4580" w:rsidRPr="000B210C">
        <w:t xml:space="preserve">езультаты инвентаризации оформляются инвентаризационной описью (сличительной ведомостью) по объектам нефинансовых активов ф.0504087.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i/>
          <w:iCs/>
        </w:rPr>
        <w:t xml:space="preserve">Инвентаризация материальных запасов </w:t>
      </w:r>
      <w:r w:rsidRPr="000B210C">
        <w:t xml:space="preserve">производится отдельно по каждому счету, входящему в состав материальных запасов.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Записи в опись производятся на основании проверки фактического наличия материальных ценностей путем их пересчета, перевешивания, </w:t>
      </w:r>
      <w:proofErr w:type="spellStart"/>
      <w:r w:rsidRPr="000B210C">
        <w:t>перемеривания</w:t>
      </w:r>
      <w:proofErr w:type="spellEnd"/>
      <w:r w:rsidRPr="000B210C">
        <w:t xml:space="preserve">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В случаях, когда материальные ценности хранятся в нескольких изолированных помещениях у одного материально ответственного лица, инвентаризация проводится последовательно по местам хранения.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Результаты инвентаризации оформляются инвентаризационной описью (сличительной ведомостью) по объектам нефинансовых активов ф.0504087.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  <w:i/>
          <w:iCs/>
        </w:rPr>
        <w:t>Инвентаризация фактического наличия бланков строгой отчетности</w:t>
      </w:r>
      <w:r w:rsidRPr="000B210C">
        <w:t xml:space="preserve">, производится по видам бланков с учетом номеров каждого вида бланков, по местам хранения и материально ответственным лицам.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Для инвентаризации бланков строгой отчетности применяется Инвентаризационная опись (сличительная ведомость) бланков строгой отчетности и денежных документов ф.0504086.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  <w:i/>
          <w:iCs/>
        </w:rPr>
        <w:t xml:space="preserve">Инвентаризация расчетов </w:t>
      </w:r>
      <w:r w:rsidRPr="000B210C">
        <w:t>проводится по бухгалтерским документам в согласовании с корреспондирующими счетами (</w:t>
      </w:r>
      <w:proofErr w:type="spellStart"/>
      <w:r w:rsidRPr="000B210C">
        <w:t>субсчетами</w:t>
      </w:r>
      <w:proofErr w:type="spellEnd"/>
      <w:r w:rsidRPr="000B210C">
        <w:t xml:space="preserve">).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Расчеты с покупателями, поставщиками, подрядчиками, с другими дебиторами и кредиторами выверяются с подтверждением сальдо по расчетам на день проведения проверки. Результаты инвентаризации расчетов оформляются инвентаризационной описью расчетов с покупателями, поставщиками и </w:t>
      </w:r>
      <w:proofErr w:type="gramStart"/>
      <w:r w:rsidRPr="000B210C">
        <w:t>прочими дебиторами</w:t>
      </w:r>
      <w:proofErr w:type="gramEnd"/>
      <w:r w:rsidRPr="000B210C">
        <w:t xml:space="preserve"> и кредиторами ф. № 0504089.Сальдо по расчётам с поставщиками и подрядчиками подтверждается актами сверок, подписанными в двухстороннем порядке. Расчеты в части инвентаризации дебиторов по доходам оформляются инвентаризационной описью расчетов по доходам ф.0504091.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Списание депонированной заработной платы, краж, излишне внесённой родительской платы и другой дебиторской и кредиторской задолженности с истекшим сроком исковой давности производится после проведения инвентаризации расчётов.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  <w:i/>
          <w:iCs/>
        </w:rPr>
        <w:lastRenderedPageBreak/>
        <w:t xml:space="preserve">Инвентаризация остатков на счетах учета денежных средств учреждения </w:t>
      </w:r>
      <w:r w:rsidRPr="000B210C">
        <w:t xml:space="preserve">направлена на проверку соответствия учетных данных остатков на счетах учета безналичных денежных средств фактическим остаткам денежных средств учреждения на лицевых счетах. При этом сверяются данные казначейских выписок о наличии денежных средств на счетах учреждения с данными журнала операций с безналичными денежными средствами ф.0504071.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Результаты инвентаризации оформляются инвентаризационной описью остатков на счетах учета денежных средств ф.0504082. </w:t>
      </w:r>
    </w:p>
    <w:p w:rsidR="00AA4580" w:rsidRPr="000B210C" w:rsidRDefault="00AA4580" w:rsidP="0020688E">
      <w:pPr>
        <w:pStyle w:val="Default"/>
        <w:jc w:val="both"/>
      </w:pPr>
      <w:r w:rsidRPr="000B210C">
        <w:rPr>
          <w:b/>
          <w:bCs/>
        </w:rPr>
        <w:t xml:space="preserve">Оформление результатов инвентаризации. </w:t>
      </w:r>
    </w:p>
    <w:p w:rsidR="00AA4580" w:rsidRPr="000B210C" w:rsidRDefault="00AA4580" w:rsidP="0020688E">
      <w:pPr>
        <w:pStyle w:val="Default"/>
        <w:jc w:val="both"/>
      </w:pPr>
      <w:r w:rsidRPr="000B210C">
        <w:t xml:space="preserve">Правильно оформленные инвентаризационной комиссией и подписанные всеми ее членами и материально ответственными лицами инвентаризационные описи (сличительные ведомости), акты передаются в бухгалтерию для выверки данных фактического наличия </w:t>
      </w:r>
      <w:proofErr w:type="spellStart"/>
      <w:r w:rsidRPr="000B210C">
        <w:t>имущественно</w:t>
      </w:r>
      <w:proofErr w:type="spellEnd"/>
      <w:r w:rsidRPr="000B210C">
        <w:t xml:space="preserve">-материальных и других ценностей, финансовых активов и обязательств с данными бухгалтерского учета. </w:t>
      </w:r>
    </w:p>
    <w:p w:rsidR="00AA4580" w:rsidRPr="000B210C" w:rsidRDefault="00AA4580" w:rsidP="0020688E">
      <w:pPr>
        <w:jc w:val="both"/>
        <w:rPr>
          <w:rFonts w:ascii="Times New Roman" w:hAnsi="Times New Roman" w:cs="Times New Roman"/>
          <w:sz w:val="24"/>
          <w:szCs w:val="24"/>
        </w:rPr>
      </w:pPr>
      <w:r w:rsidRPr="000B210C">
        <w:rPr>
          <w:rFonts w:ascii="Times New Roman" w:hAnsi="Times New Roman" w:cs="Times New Roman"/>
          <w:sz w:val="24"/>
          <w:szCs w:val="24"/>
        </w:rPr>
        <w:t>После завершения инвентаризации выявленные расхождения (излишки, недостача)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F84D5E" w:rsidRPr="005A2268" w:rsidRDefault="00F84D5E" w:rsidP="0020688E">
      <w:pPr>
        <w:pStyle w:val="Default"/>
        <w:jc w:val="both"/>
        <w:rPr>
          <w:b/>
        </w:rPr>
      </w:pPr>
      <w:r w:rsidRPr="005A2268">
        <w:rPr>
          <w:b/>
        </w:rPr>
        <w:t xml:space="preserve">Порядок организации и обеспечения внутреннего финансового контроля </w:t>
      </w:r>
    </w:p>
    <w:p w:rsidR="00F84D5E" w:rsidRPr="000B210C" w:rsidRDefault="00F84D5E" w:rsidP="0020688E">
      <w:pPr>
        <w:pStyle w:val="Default"/>
        <w:jc w:val="both"/>
      </w:pPr>
      <w:r w:rsidRPr="000B210C">
        <w:t xml:space="preserve">1. Внутренний финансовый контроль в учреждении осуществляют в рамках своих полномочий: </w:t>
      </w:r>
    </w:p>
    <w:p w:rsidR="00F84D5E" w:rsidRPr="000B210C" w:rsidRDefault="00F84D5E" w:rsidP="0020688E">
      <w:pPr>
        <w:pStyle w:val="Default"/>
        <w:spacing w:after="27"/>
        <w:jc w:val="both"/>
      </w:pPr>
      <w:r w:rsidRPr="000B210C">
        <w:t xml:space="preserve"> руководитель учреждения, его заместители; </w:t>
      </w:r>
    </w:p>
    <w:p w:rsidR="005A2268" w:rsidRPr="000B210C" w:rsidRDefault="00F84D5E" w:rsidP="0020688E">
      <w:pPr>
        <w:pStyle w:val="Default"/>
        <w:spacing w:after="27"/>
        <w:jc w:val="both"/>
      </w:pPr>
      <w:r w:rsidRPr="000B210C">
        <w:t> главный бухгалтер, сотрудники бухгалтерии</w:t>
      </w:r>
      <w:proofErr w:type="gramStart"/>
      <w:r w:rsidRPr="000B210C">
        <w:t>; .</w:t>
      </w:r>
      <w:proofErr w:type="gramEnd"/>
      <w:r w:rsidRPr="000B210C">
        <w:t xml:space="preserve"> </w:t>
      </w:r>
    </w:p>
    <w:p w:rsidR="00F84D5E" w:rsidRDefault="00F84D5E" w:rsidP="0020688E">
      <w:pPr>
        <w:pStyle w:val="Default"/>
        <w:jc w:val="both"/>
        <w:rPr>
          <w:i/>
          <w:iCs/>
        </w:rPr>
      </w:pPr>
      <w:r w:rsidRPr="000B210C">
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 в приложении №3. </w:t>
      </w:r>
      <w:r w:rsidRPr="000B210C">
        <w:rPr>
          <w:i/>
          <w:iCs/>
        </w:rPr>
        <w:t xml:space="preserve">Основание: пункт 6 Инструкции к Единому плану счетов № 157н. </w:t>
      </w:r>
    </w:p>
    <w:p w:rsidR="0020688E" w:rsidRDefault="0020688E" w:rsidP="0020688E">
      <w:pPr>
        <w:pStyle w:val="Default"/>
        <w:jc w:val="both"/>
        <w:rPr>
          <w:i/>
          <w:iCs/>
        </w:rPr>
      </w:pPr>
    </w:p>
    <w:p w:rsidR="0020688E" w:rsidRDefault="0020688E" w:rsidP="0020688E">
      <w:pPr>
        <w:pStyle w:val="Default"/>
        <w:jc w:val="both"/>
        <w:rPr>
          <w:i/>
          <w:iCs/>
        </w:rPr>
      </w:pPr>
    </w:p>
    <w:p w:rsidR="0020688E" w:rsidRPr="000B210C" w:rsidRDefault="0020688E" w:rsidP="0020688E">
      <w:pPr>
        <w:pStyle w:val="Default"/>
        <w:jc w:val="both"/>
      </w:pPr>
    </w:p>
    <w:p w:rsidR="00F84D5E" w:rsidRPr="000B210C" w:rsidRDefault="00F84D5E" w:rsidP="0020688E">
      <w:pPr>
        <w:jc w:val="both"/>
        <w:rPr>
          <w:rFonts w:ascii="Times New Roman" w:hAnsi="Times New Roman" w:cs="Times New Roman"/>
          <w:sz w:val="24"/>
          <w:szCs w:val="24"/>
        </w:rPr>
      </w:pPr>
      <w:r w:rsidRPr="000B210C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20688E">
        <w:rPr>
          <w:rFonts w:ascii="Times New Roman" w:hAnsi="Times New Roman" w:cs="Times New Roman"/>
          <w:sz w:val="24"/>
          <w:szCs w:val="24"/>
        </w:rPr>
        <w:t xml:space="preserve">                                  И.В. Золотарева</w:t>
      </w:r>
      <w:bookmarkStart w:id="0" w:name="_GoBack"/>
      <w:bookmarkEnd w:id="0"/>
    </w:p>
    <w:sectPr w:rsidR="00F84D5E" w:rsidRPr="000B210C" w:rsidSect="0020688E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F1D86"/>
    <w:multiLevelType w:val="hybridMultilevel"/>
    <w:tmpl w:val="97772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2E0E87"/>
    <w:multiLevelType w:val="hybridMultilevel"/>
    <w:tmpl w:val="6AE0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FE27"/>
    <w:multiLevelType w:val="hybridMultilevel"/>
    <w:tmpl w:val="BA8DAB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ADE5EFA"/>
    <w:multiLevelType w:val="hybridMultilevel"/>
    <w:tmpl w:val="28C31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B3"/>
    <w:rsid w:val="000B210C"/>
    <w:rsid w:val="0020688E"/>
    <w:rsid w:val="00411806"/>
    <w:rsid w:val="004D7737"/>
    <w:rsid w:val="005A2268"/>
    <w:rsid w:val="007E48C1"/>
    <w:rsid w:val="0083622A"/>
    <w:rsid w:val="00AA4580"/>
    <w:rsid w:val="00B57E04"/>
    <w:rsid w:val="00CC1FE6"/>
    <w:rsid w:val="00D65BB3"/>
    <w:rsid w:val="00D9356C"/>
    <w:rsid w:val="00ED0B69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8BD1"/>
  <w15:chartTrackingRefBased/>
  <w15:docId w15:val="{09683196-C3C5-4C53-B630-E77F5280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12</cp:revision>
  <dcterms:created xsi:type="dcterms:W3CDTF">2021-02-02T06:55:00Z</dcterms:created>
  <dcterms:modified xsi:type="dcterms:W3CDTF">2021-02-02T07:44:00Z</dcterms:modified>
</cp:coreProperties>
</file>